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43" w:rsidRPr="001D7F9D" w:rsidRDefault="00BC1843" w:rsidP="00C2583F">
      <w:pPr>
        <w:pStyle w:val="1"/>
      </w:pPr>
      <w:r w:rsidRPr="001D7F9D">
        <w:t xml:space="preserve">Конспект занятия </w:t>
      </w:r>
      <w:r w:rsidRPr="009F0238">
        <w:t>5</w:t>
      </w:r>
      <w:r w:rsidRPr="001D7F9D">
        <w:t xml:space="preserve">. </w:t>
      </w:r>
    </w:p>
    <w:p w:rsidR="007C6376" w:rsidRPr="00C2583F" w:rsidRDefault="007C6376" w:rsidP="00AF012B">
      <w:pPr>
        <w:spacing w:line="360" w:lineRule="auto"/>
        <w:ind w:firstLine="227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BC1843" w:rsidRPr="00C2583F" w:rsidRDefault="00BC1843" w:rsidP="00C2583F">
      <w:pPr>
        <w:pStyle w:val="2"/>
      </w:pPr>
      <w:r w:rsidRPr="00C2583F">
        <w:t>Цель.</w:t>
      </w:r>
    </w:p>
    <w:p w:rsidR="007C6376" w:rsidRPr="00C2583F" w:rsidRDefault="007C6376" w:rsidP="005B367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BC1843" w:rsidRPr="001D7F9D" w:rsidRDefault="00B512F9" w:rsidP="005B3673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1D7F9D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5B3673">
        <w:rPr>
          <w:rFonts w:ascii="Times New Roman" w:hAnsi="Times New Roman" w:cs="Times New Roman"/>
          <w:sz w:val="24"/>
          <w:szCs w:val="24"/>
        </w:rPr>
        <w:t xml:space="preserve">ядерный </w:t>
      </w:r>
      <w:r w:rsidR="00CC11A5" w:rsidRPr="001D7F9D">
        <w:rPr>
          <w:rFonts w:ascii="Times New Roman" w:hAnsi="Times New Roman" w:cs="Times New Roman"/>
          <w:sz w:val="24"/>
          <w:szCs w:val="24"/>
        </w:rPr>
        <w:t>исследовательский реактор как источник излучений для реакторных испытаний.</w:t>
      </w:r>
      <w:r w:rsidR="00D47D65">
        <w:rPr>
          <w:rFonts w:ascii="Times New Roman" w:hAnsi="Times New Roman" w:cs="Times New Roman"/>
          <w:sz w:val="24"/>
          <w:szCs w:val="24"/>
        </w:rPr>
        <w:t xml:space="preserve"> </w:t>
      </w:r>
      <w:r w:rsidR="00AF012B" w:rsidRPr="001D7F9D">
        <w:rPr>
          <w:rFonts w:ascii="Times New Roman" w:hAnsi="Times New Roman" w:cs="Times New Roman"/>
          <w:sz w:val="24"/>
          <w:szCs w:val="24"/>
        </w:rPr>
        <w:t xml:space="preserve">Познакомить слушателей с техническими характеристиками исследовательских реакторов Российской Федерации. </w:t>
      </w:r>
      <w:r w:rsidR="00CC11A5" w:rsidRPr="001D7F9D">
        <w:rPr>
          <w:rFonts w:ascii="Times New Roman" w:hAnsi="Times New Roman" w:cs="Times New Roman"/>
          <w:sz w:val="24"/>
          <w:szCs w:val="24"/>
        </w:rPr>
        <w:t xml:space="preserve"> Обосновать выбор реакторов для последующего детального </w:t>
      </w:r>
      <w:r w:rsidR="001D7F9D" w:rsidRPr="001D7F9D">
        <w:rPr>
          <w:rFonts w:ascii="Times New Roman" w:hAnsi="Times New Roman" w:cs="Times New Roman"/>
          <w:sz w:val="24"/>
          <w:szCs w:val="24"/>
        </w:rPr>
        <w:t>рассмо</w:t>
      </w:r>
      <w:r w:rsidR="00CC11A5" w:rsidRPr="001D7F9D">
        <w:rPr>
          <w:rFonts w:ascii="Times New Roman" w:hAnsi="Times New Roman" w:cs="Times New Roman"/>
          <w:sz w:val="24"/>
          <w:szCs w:val="24"/>
        </w:rPr>
        <w:t>трения</w:t>
      </w:r>
      <w:r w:rsidR="001D7F9D" w:rsidRPr="001D7F9D">
        <w:rPr>
          <w:rFonts w:ascii="Times New Roman" w:hAnsi="Times New Roman" w:cs="Times New Roman"/>
          <w:sz w:val="24"/>
          <w:szCs w:val="24"/>
        </w:rPr>
        <w:t>. Дать общие представления о</w:t>
      </w:r>
      <w:r w:rsidR="00FF1AFF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="001D7F9D" w:rsidRPr="001D7F9D">
        <w:rPr>
          <w:rFonts w:ascii="Times New Roman" w:hAnsi="Times New Roman" w:cs="Times New Roman"/>
          <w:sz w:val="24"/>
          <w:szCs w:val="24"/>
        </w:rPr>
        <w:t xml:space="preserve"> типово</w:t>
      </w:r>
      <w:r w:rsidR="00FF1AFF">
        <w:rPr>
          <w:rFonts w:ascii="Times New Roman" w:hAnsi="Times New Roman" w:cs="Times New Roman"/>
          <w:sz w:val="24"/>
          <w:szCs w:val="24"/>
        </w:rPr>
        <w:t>го</w:t>
      </w:r>
      <w:r w:rsidR="001D7F9D" w:rsidRPr="001D7F9D">
        <w:rPr>
          <w:rFonts w:ascii="Times New Roman" w:hAnsi="Times New Roman" w:cs="Times New Roman"/>
          <w:sz w:val="24"/>
          <w:szCs w:val="24"/>
        </w:rPr>
        <w:t xml:space="preserve"> исследовательско</w:t>
      </w:r>
      <w:r w:rsidR="00FF1AFF">
        <w:rPr>
          <w:rFonts w:ascii="Times New Roman" w:hAnsi="Times New Roman" w:cs="Times New Roman"/>
          <w:sz w:val="24"/>
          <w:szCs w:val="24"/>
        </w:rPr>
        <w:t>го реактора</w:t>
      </w:r>
      <w:r w:rsidR="001D7F9D" w:rsidRPr="001D7F9D">
        <w:rPr>
          <w:rFonts w:ascii="Times New Roman" w:hAnsi="Times New Roman" w:cs="Times New Roman"/>
          <w:sz w:val="24"/>
          <w:szCs w:val="24"/>
        </w:rPr>
        <w:t xml:space="preserve"> ИРТ</w:t>
      </w:r>
      <w:r w:rsidR="00FF1AFF">
        <w:rPr>
          <w:rFonts w:ascii="Times New Roman" w:hAnsi="Times New Roman" w:cs="Times New Roman"/>
          <w:sz w:val="24"/>
          <w:szCs w:val="24"/>
        </w:rPr>
        <w:t>-2000 и рассмотреть возможности реактора ИРТ-МИФИ.</w:t>
      </w:r>
    </w:p>
    <w:p w:rsidR="001D7F9D" w:rsidRPr="00C2583F" w:rsidRDefault="00BC1843" w:rsidP="00C2583F">
      <w:pPr>
        <w:pStyle w:val="2"/>
      </w:pPr>
      <w:r w:rsidRPr="00C2583F">
        <w:t>План.</w:t>
      </w:r>
    </w:p>
    <w:p w:rsidR="007C6376" w:rsidRPr="00C2583F" w:rsidRDefault="007C6376" w:rsidP="00D47D6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535B3A" w:rsidRDefault="0062443A" w:rsidP="00D47D6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2443A">
        <w:rPr>
          <w:rFonts w:ascii="Times New Roman" w:hAnsi="Times New Roman" w:cs="Times New Roman"/>
          <w:sz w:val="24"/>
          <w:szCs w:val="24"/>
        </w:rPr>
        <w:t xml:space="preserve">1.  </w:t>
      </w:r>
      <w:r w:rsidR="00D47D65">
        <w:rPr>
          <w:rFonts w:ascii="Times New Roman" w:hAnsi="Times New Roman" w:cs="Times New Roman"/>
          <w:sz w:val="24"/>
          <w:szCs w:val="24"/>
        </w:rPr>
        <w:t>Исследовательский реактор как источник излучений.</w:t>
      </w:r>
    </w:p>
    <w:p w:rsidR="0062443A" w:rsidRDefault="0062443A" w:rsidP="00D47D6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2443A">
        <w:rPr>
          <w:rFonts w:ascii="Times New Roman" w:hAnsi="Times New Roman" w:cs="Times New Roman"/>
          <w:sz w:val="24"/>
          <w:szCs w:val="24"/>
        </w:rPr>
        <w:t>2.</w:t>
      </w:r>
      <w:r w:rsidR="00535B3A">
        <w:rPr>
          <w:rFonts w:ascii="Times New Roman" w:hAnsi="Times New Roman" w:cs="Times New Roman"/>
          <w:sz w:val="24"/>
          <w:szCs w:val="24"/>
        </w:rPr>
        <w:t xml:space="preserve"> </w:t>
      </w:r>
      <w:r w:rsidR="00D47D65" w:rsidRPr="0062443A">
        <w:rPr>
          <w:rFonts w:ascii="Times New Roman" w:hAnsi="Times New Roman" w:cs="Times New Roman"/>
          <w:sz w:val="24"/>
          <w:szCs w:val="24"/>
        </w:rPr>
        <w:t>Исследовательские ядерные реакторы Российской Федерации.</w:t>
      </w:r>
      <w:r w:rsidR="00D47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38" w:rsidRPr="00FF1AFF" w:rsidRDefault="00FF1AFF" w:rsidP="00D47D65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Исследовательские</w:t>
      </w:r>
      <w:r w:rsidR="009F0238">
        <w:rPr>
          <w:rFonts w:ascii="Times New Roman" w:hAnsi="Times New Roman" w:cs="Times New Roman"/>
          <w:sz w:val="24"/>
          <w:szCs w:val="24"/>
        </w:rPr>
        <w:t xml:space="preserve"> реактор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F0238">
        <w:rPr>
          <w:rFonts w:ascii="Times New Roman" w:hAnsi="Times New Roman" w:cs="Times New Roman"/>
          <w:sz w:val="24"/>
          <w:szCs w:val="24"/>
        </w:rPr>
        <w:t xml:space="preserve"> ИРТ</w:t>
      </w:r>
      <w:r>
        <w:rPr>
          <w:rFonts w:ascii="Times New Roman" w:hAnsi="Times New Roman" w:cs="Times New Roman"/>
          <w:sz w:val="24"/>
          <w:szCs w:val="24"/>
        </w:rPr>
        <w:t xml:space="preserve">-2000 </w:t>
      </w:r>
      <w:r w:rsidRPr="00FF1AFF">
        <w:rPr>
          <w:rFonts w:ascii="Times New Roman" w:hAnsi="Times New Roman" w:cs="Times New Roman"/>
          <w:sz w:val="24"/>
          <w:szCs w:val="24"/>
        </w:rPr>
        <w:t>(проект)</w:t>
      </w:r>
      <w:r>
        <w:rPr>
          <w:rFonts w:ascii="Times New Roman" w:hAnsi="Times New Roman" w:cs="Times New Roman"/>
          <w:sz w:val="24"/>
          <w:szCs w:val="24"/>
        </w:rPr>
        <w:t xml:space="preserve"> и ИРТ-МИФИ.</w:t>
      </w:r>
    </w:p>
    <w:p w:rsid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Ядерный реактор как источник излучений весьма "богат": это и по диапазону энергий излучений и по их интенсивности и по  качественным показателям, и, наконец, по характеру изменений потоков излучений во времени. 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В нашем случае вопрос монохроматичности излучений отодвигается на </w:t>
      </w:r>
      <w:r w:rsidR="008645AB">
        <w:rPr>
          <w:rFonts w:ascii="Times New Roman" w:hAnsi="Times New Roman" w:cs="Times New Roman"/>
          <w:sz w:val="24"/>
          <w:szCs w:val="24"/>
        </w:rPr>
        <w:t xml:space="preserve">второй план, так как </w:t>
      </w:r>
      <w:r w:rsidRPr="00481E59">
        <w:rPr>
          <w:rFonts w:ascii="Times New Roman" w:hAnsi="Times New Roman" w:cs="Times New Roman"/>
          <w:sz w:val="24"/>
          <w:szCs w:val="24"/>
        </w:rPr>
        <w:t xml:space="preserve"> основная задача реакторных испытании состоит в том, чтобы определить ресурс изделия или свойство материала     при   суммарном    воздействии    реакторных излучений на объект испытаний. Естественно, что в определенных случаях, когда в результате испытаний выявлены эффекты, физическая сущность которых может быть понята при использовании потоков излучений с определенными, заранее известными качественными характеристиками, такие испытания могут быть поставлены.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Основным</w:t>
      </w:r>
      <w:r w:rsidR="00AC70EC">
        <w:rPr>
          <w:rFonts w:ascii="Times New Roman" w:hAnsi="Times New Roman" w:cs="Times New Roman"/>
          <w:sz w:val="24"/>
          <w:szCs w:val="24"/>
        </w:rPr>
        <w:t>и показателями</w:t>
      </w:r>
      <w:r w:rsidRPr="00481E59">
        <w:rPr>
          <w:rFonts w:ascii="Times New Roman" w:hAnsi="Times New Roman" w:cs="Times New Roman"/>
          <w:sz w:val="24"/>
          <w:szCs w:val="24"/>
        </w:rPr>
        <w:t xml:space="preserve"> реактора как источника излучения является его нейтронный поток и энергетический спектр нейтронов. Для реакторных испытаний достаточно провести весьма "грубое" разделение исследовательских реакторов по энергиям нейтронов на тепловые, промежуточные и быстрые. Такое разделение неточно, так как в зависимости от местоположения облучательного устройства в конкретном канале реактора, заполнении канала и даже от конструкционных материалов, из которых  выполнена установка, зависит энергетический спектр нейтронного потока, падающего  на испытуемый образец. </w:t>
      </w: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Pr="00C2583F" w:rsidRDefault="00C2583F" w:rsidP="00C2583F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Табл. 2.1</w:t>
      </w: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047"/>
        <w:gridCol w:w="1304"/>
        <w:gridCol w:w="795"/>
      </w:tblGrid>
      <w:tr w:rsidR="00E56055" w:rsidRPr="005532BE" w:rsidTr="00E56055">
        <w:tc>
          <w:tcPr>
            <w:tcW w:w="44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Название. Предприятие. Место. Тип.</w:t>
            </w:r>
          </w:p>
        </w:tc>
        <w:tc>
          <w:tcPr>
            <w:tcW w:w="1304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(МВт)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Год пуска</w:t>
            </w:r>
          </w:p>
        </w:tc>
      </w:tr>
    </w:tbl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053"/>
        <w:gridCol w:w="1290"/>
        <w:gridCol w:w="795"/>
      </w:tblGrid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ИР-8. РНЦ КИ. Москва. Бассейновый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ВВР-М. ПИЯФ. Гатчина. Бассейновый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БР-10. ФЭИ. Обнинск. Быстрый, жидкометаллический.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ГНЦ РФ НИИАР. Димитровград. Корпусной.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ВВР-Ц. Филиал НИФХИ. Обнинск. </w:t>
            </w:r>
            <w:r w:rsidR="00ED71F4"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ВК-50. ГНЦ РФ НИИАР. Димитровград. Корпусной, кипящий.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МИР. ГНЦ РФ НИИАР. Димитровград. Канальный.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ИВВ-2М. СФ НИКИЭТ. Заречный. Бассейновый.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ИРТ. МИФИ. Москва. Бассейновый.</w:t>
            </w:r>
          </w:p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E56055" w:rsidRPr="005532BE" w:rsidTr="00E56055">
        <w:trPr>
          <w:trHeight w:val="509"/>
        </w:trPr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ИРТ-Т. НИИЯФ ТПИ. Томск. Бассейновый.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БОР-60 (опытный). ГНЦ РФ НИИАР. Димитровград. Быстрый, жидкометаллический.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РБТ-6. ГНЦ РФ НИИАР. Димитровград. Бассейновый.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РБТ-10/1. ГНЦ РФ НИИАР. Димитровград. Бассейновый.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E56055" w:rsidRPr="005532BE" w:rsidTr="00E56055">
        <w:tc>
          <w:tcPr>
            <w:tcW w:w="456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РБТ-10/2. ГНЦ РФ НИИАР. Димитровград. Бассейновый.</w:t>
            </w:r>
          </w:p>
        </w:tc>
        <w:tc>
          <w:tcPr>
            <w:tcW w:w="1290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E56055" w:rsidRPr="005532BE" w:rsidRDefault="00E56055" w:rsidP="00E5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B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</w:tbl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99D" w:rsidRDefault="0056499D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В </w:t>
      </w:r>
      <w:r w:rsidR="00ED71F4" w:rsidRPr="00481E59">
        <w:rPr>
          <w:rFonts w:ascii="Times New Roman" w:hAnsi="Times New Roman" w:cs="Times New Roman"/>
          <w:sz w:val="24"/>
          <w:szCs w:val="24"/>
        </w:rPr>
        <w:t>табл.</w:t>
      </w:r>
      <w:r w:rsidRPr="00481E59">
        <w:rPr>
          <w:rFonts w:ascii="Times New Roman" w:hAnsi="Times New Roman" w:cs="Times New Roman"/>
          <w:sz w:val="24"/>
          <w:szCs w:val="24"/>
        </w:rPr>
        <w:t xml:space="preserve"> 2.1. представлены действующие в настоящее время исследовательские реакторы России [6]. . Зарубежные реакторы близки к отечественным по перечисленным параметрам.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В дальнейшем мы рассмотрим исследовательские реакторы 3-х типов: тепловые, промежуточные и быстрые. Наш интерес к ним будет сосредоточен на возможностях их использования для проведения реакторных испытаний.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 Наиболее подробно рассмотрим реакторы: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>-ИРТ-2000 и ИВВ-2, как примеры реакторов на тепловых нейтронах;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>- на промежуточных нейтронах СМ-2;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>- на быстрых нейтронах БР-10,</w:t>
      </w: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- </w:t>
      </w:r>
      <w:r w:rsidR="0056499D">
        <w:rPr>
          <w:rFonts w:ascii="Times New Roman" w:hAnsi="Times New Roman" w:cs="Times New Roman"/>
          <w:sz w:val="24"/>
          <w:szCs w:val="24"/>
        </w:rPr>
        <w:t xml:space="preserve">реактор </w:t>
      </w:r>
      <w:r w:rsidRPr="00481E59">
        <w:rPr>
          <w:rFonts w:ascii="Times New Roman" w:hAnsi="Times New Roman" w:cs="Times New Roman"/>
          <w:sz w:val="24"/>
          <w:szCs w:val="24"/>
        </w:rPr>
        <w:t>МИР, специально приспособленный для испытания тепловыделяющих  сборок (ТВС).</w:t>
      </w:r>
    </w:p>
    <w:p w:rsid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E59">
        <w:rPr>
          <w:rFonts w:ascii="Times New Roman" w:hAnsi="Times New Roman" w:cs="Times New Roman"/>
          <w:sz w:val="24"/>
          <w:szCs w:val="24"/>
        </w:rPr>
        <w:t xml:space="preserve">     По-видимому, не следует считать, что какой-то из перечисленных реакторов как источник   излучения "плохой" из-за малости потока или отсутствия тепловой части нейтронного спектра. В конкретном случае постановки реакторного эксперимента каждый из них более или менее удобен.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Реактор ИРТ-2000 (исследовательский реактор тепловой, мощностью 2000 кВт) предназначен для проведения научно-исследовательских работ в   НИИ  и   ВУЗах.   Он  является   самым   дешевым,  надежным    и безопасным в работе устройством подобного типа.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Экспериментальные направления, которые могут развиваться на ИРТ:</w:t>
      </w:r>
    </w:p>
    <w:p w:rsidR="00481E59" w:rsidRPr="00504988" w:rsidRDefault="0056499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измерение</w:t>
      </w:r>
      <w:r w:rsidR="00481E59" w:rsidRPr="00504988">
        <w:rPr>
          <w:rFonts w:ascii="Times New Roman" w:hAnsi="Times New Roman" w:cs="Times New Roman"/>
          <w:sz w:val="24"/>
          <w:szCs w:val="24"/>
        </w:rPr>
        <w:t xml:space="preserve"> нейтронных сечений;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2)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гамма-спектроскопия;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3)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опыты по дифракции и поляризации нейтронов;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4)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изучение замедляющих свойств смесей;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5)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действие излучения на вещества;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6)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радиационная химия;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>7)</w:t>
      </w:r>
      <w:r w:rsidR="00762976">
        <w:rPr>
          <w:rFonts w:ascii="Times New Roman" w:hAnsi="Times New Roman" w:cs="Times New Roman"/>
          <w:sz w:val="24"/>
          <w:szCs w:val="24"/>
        </w:rPr>
        <w:t xml:space="preserve"> </w:t>
      </w:r>
      <w:r w:rsidRPr="00504988">
        <w:rPr>
          <w:rFonts w:ascii="Times New Roman" w:hAnsi="Times New Roman" w:cs="Times New Roman"/>
          <w:sz w:val="24"/>
          <w:szCs w:val="24"/>
        </w:rPr>
        <w:t>радиационная генетика.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Реактор ИРТ - бассейнового типа. Активная зона размещена в водяном </w:t>
      </w:r>
      <w:r w:rsidR="00ED71F4" w:rsidRPr="00504988">
        <w:rPr>
          <w:rFonts w:ascii="Times New Roman" w:hAnsi="Times New Roman" w:cs="Times New Roman"/>
          <w:sz w:val="24"/>
          <w:szCs w:val="24"/>
        </w:rPr>
        <w:t>бассейне,</w:t>
      </w:r>
      <w:r w:rsidRPr="00504988">
        <w:rPr>
          <w:rFonts w:ascii="Times New Roman" w:hAnsi="Times New Roman" w:cs="Times New Roman"/>
          <w:sz w:val="24"/>
          <w:szCs w:val="24"/>
        </w:rPr>
        <w:t xml:space="preserve"> и циркуляция осуществляется с помощью эжектора при расходе 175 л/час. Теплоносителем и замедлителем является монодистилят воды. </w:t>
      </w:r>
    </w:p>
    <w:p w:rsidR="00481E59" w:rsidRPr="00504988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lastRenderedPageBreak/>
        <w:t xml:space="preserve">    Активная зона реактора содержит 24 кассеты, критическая масса по урану 235 -3,17кг. Кампания 1,2 года при мощности 2 МВт. Рассматриваются вопросы повышения мощности до 5 МВт, что повысит максимальный поток до 10 </w:t>
      </w:r>
      <w:r w:rsidRPr="0056499D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504988">
        <w:rPr>
          <w:rFonts w:ascii="Times New Roman" w:hAnsi="Times New Roman" w:cs="Times New Roman"/>
          <w:sz w:val="24"/>
          <w:szCs w:val="24"/>
        </w:rPr>
        <w:t xml:space="preserve">   н./см </w:t>
      </w:r>
      <w:r w:rsidRPr="005649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4988">
        <w:rPr>
          <w:rFonts w:ascii="Times New Roman" w:hAnsi="Times New Roman" w:cs="Times New Roman"/>
          <w:sz w:val="24"/>
          <w:szCs w:val="24"/>
        </w:rPr>
        <w:t xml:space="preserve"> с.   </w: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D2737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2" style="position:absolute;margin-left:-2.95pt;margin-top:3.15pt;width:367.25pt;height:306.7pt;z-index:251688960" coordorigin="1811,1494" coordsize="6160,5160" o:regroupid="3">
            <v:shape id="_x0000_s1033" style="position:absolute;left:2581;top:2394;width:3960;height:3654" coordsize="3960,3654" path="m3960,540r-1063,l2898,1003r-1185,l1713,540r-1273,l440,3131r3520,1l3960,3654,,3654,,,3960,r,540xe" fillcolor="black">
              <v:fill r:id="rId6" o:title="Шпалера" type="pattern"/>
              <v:path arrowok="t"/>
            </v:shape>
            <v:rect id="_x0000_s1034" style="position:absolute;left:2581;top:2469;width:3237;height:283"/>
            <v:rect id="_x0000_s1035" style="position:absolute;left:3901;top:3474;width:1760;height:1080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6" type="#_x0000_t7" style="position:absolute;left:2480;top:2315;width:1436;height:1234;rotation:270" adj="15915"/>
            <v:oval id="_x0000_s1037" style="position:absolute;left:5974;top:3550;width:567;height:567"/>
            <v:oval id="_x0000_s1038" style="position:absolute;left:3901;top:3114;width:283;height:283"/>
            <v:oval id="_x0000_s1039" style="position:absolute;left:3241;top:3474;width:283;height:283"/>
            <v:oval id="_x0000_s1040" style="position:absolute;left:3241;top:4194;width:283;height:283"/>
            <v:oval id="_x0000_s1041" style="position:absolute;left:4011;top:4914;width:283;height:283"/>
            <v:oval id="_x0000_s1042" style="position:absolute;left:3241;top:4914;width:283;height:283"/>
            <v:oval id="_x0000_s1043" style="position:absolute;left:5818;top:3114;width:283;height:283"/>
            <v:shape id="_x0000_s1044" type="#_x0000_t7" style="position:absolute;left:5475;top:4732;width:1284;height:1317;rotation:23552671fd;flip:x" adj="15915"/>
            <v:shape id="_x0000_s1045" type="#_x0000_t7" style="position:absolute;left:2550;top:4261;width:1296;height:1234;rotation:-90;flip:x" adj="15915"/>
            <v:shape id="_x0000_s1046" type="#_x0000_t7" style="position:absolute;left:2795;top:4726;width:1383;height:1316;rotation:-47105342fd" adj="15915"/>
            <v:shape id="_x0000_s1047" type="#_x0000_t7" style="position:absolute;left:4903;top:4731;width:757;height:1317;rotation:23569014fd;flip:x" adj="12803"/>
            <v:rect id="_x0000_s1048" style="position:absolute;left:3771;top:5257;width:1314;height:267;rotation:270"/>
            <v:rect id="_x0000_s1049" style="position:absolute;left:4294;top:2394;width:424;height:1003" fillcolor="black">
              <v:fill r:id="rId7" o:title="Светлый диагональный 2" type="pattern"/>
            </v:rect>
            <v:rect id="_x0000_s1050" style="position:absolute;left:5051;top:2394;width:424;height:1003" fillcolor="black">
              <v:fill r:id="rId7" o:title="Светлый диагональный 2" type="pattern"/>
            </v:rect>
            <v:rect id="_x0000_s1051" style="position:absolute;left:4724;top:2394;width:327;height:1003"/>
            <v:shapetype id="_x0000_t44" coordsize="21600,21600" o:spt="44" adj="-8280,24300,-1800,4050" path="m@0@1l@2@3nfem@2,l@2,21600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accentbar="t" textborder="f"/>
            </v:shapetype>
            <v:shape id="_x0000_s1052" type="#_x0000_t44" style="position:absolute;left:4228;top:1498;width:445;height:360" adj="-8883,105660,-5825,10800,-34172,21360,-34172,21360">
              <v:textbox style="mso-next-textbox:#_x0000_s1052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o:callout v:ext="edit" minusy="t"/>
            </v:shape>
            <v:shape id="_x0000_s1053" type="#_x0000_t44" style="position:absolute;left:2801;top:1494;width:283;height:360" adj="46787,96540,30759,10800,50756,22500,50756,22500">
              <v:textbox style="mso-next-textbox:#_x0000_s1053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o:callout v:ext="edit" minusx="t" minusy="t"/>
            </v:shape>
            <v:shape id="_x0000_s1054" type="#_x0000_t44" style="position:absolute;left:1811;top:1494;width:440;height:360" adj="79773,124260,27491,10800,39960,,39960">
              <v:textbox style="mso-next-textbox:#_x0000_s1054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o:callout v:ext="edit" minusx="t" minusy="t"/>
            </v:shape>
            <v:shape id="_x0000_s1055" type="#_x0000_t44" style="position:absolute;left:1811;top:3397;width:420;height:480" adj="78789,43110,27771,8100,9206,-675,9206,-675">
              <v:textbox style="mso-next-textbox:#_x0000_s1055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o:callout v:ext="edit" minusx="t" minusy="t"/>
            </v:shape>
            <v:shape id="_x0000_s1056" type="#_x0000_t44" style="position:absolute;left:1811;top:4477;width:420;height:480" adj="74829,14580,27771,8100,9206,-675,9206,-675">
              <v:textbox style="mso-next-textbox:#_x0000_s1056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o:callout v:ext="edit" minusx="t" minusy="t"/>
            </v:shape>
            <v:shape id="_x0000_s1057" type="#_x0000_t44" style="position:absolute;left:1811;top:5569;width:420;height:480" adj="78789,-22365,27771,8100,9206,-675,9206,-675">
              <v:textbox style="mso-next-textbox:#_x0000_s1057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o:callout v:ext="edit" minusx="t"/>
            </v:shape>
            <v:shape id="_x0000_s1058" type="#_x0000_t44" style="position:absolute;left:1831;top:6174;width:420;height:480" adj="73234,-22365,27771,8100,9206,-675,9206,-675">
              <v:textbox style="mso-next-textbox:#_x0000_s1058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o:callout v:ext="edit" minusx="t"/>
            </v:shape>
            <v:shape id="_x0000_s1059" type="#_x0000_t44" style="position:absolute;left:2664;top:6174;width:420;height:480" adj="77966,-50265,27771,8100,-7509,-4860,-7509,-4860">
              <v:textbox style="mso-next-textbox:#_x0000_s1059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  <o:callout v:ext="edit" minusx="t"/>
            </v:shape>
            <v:shape id="_x0000_s1060" type="#_x0000_t44" style="position:absolute;left:3241;top:6174;width:530;height:480" adj="49150,-36315,26491,8100,7295,-675,7295,-675">
              <v:textbox style="mso-next-textbox:#_x0000_s1060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  <o:callout v:ext="edit" minusx="t"/>
            </v:shape>
            <v:shape id="_x0000_s1061" type="#_x0000_t44" style="position:absolute;left:5618;top:6174;width:593;height:480" adj="-13914,-42570,-4371,8100,-17520,-675,-17520,-675">
              <v:textbox style="mso-next-textbox:#_x0000_s1061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1062" type="#_x0000_t44" style="position:absolute;left:7291;top:6174;width:680;height:480" adj="-35735,-32085,-3812,8100,-15279,-675,-15279,-675">
              <v:textbox style="mso-next-textbox:#_x0000_s1062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</w:p>
                </w:txbxContent>
              </v:textbox>
            </v:shape>
            <v:shape id="_x0000_s1063" type="#_x0000_t44" style="position:absolute;left:7291;top:4230;width:570;height:480" adj="-89583,-10530,-4547,8100,-18227,-675,-18227,-675">
              <v:textbox style="mso-next-textbox:#_x0000_s1063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16</w:t>
                    </w:r>
                  </w:p>
                </w:txbxContent>
              </v:textbox>
            </v:shape>
            <v:shape id="_x0000_s1064" type="#_x0000_t44" style="position:absolute;left:7291;top:3474;width:570;height:480" adj="-36189,18765,-4547,8100,-18227,-675,-18227,-675">
              <v:textbox style="mso-next-textbox:#_x0000_s1064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17</w:t>
                    </w:r>
                  </w:p>
                </w:txbxContent>
              </v:textbox>
              <o:callout v:ext="edit" minusy="t"/>
            </v:shape>
            <v:shape id="_x0000_s1065" type="#_x0000_t44" style="position:absolute;left:7291;top:2469;width:570;height:480" adj="-66088,60570,-4547,8100,-18227,-675,-18227,-675">
              <v:textbox style="mso-next-textbox:#_x0000_s1065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</w:t>
                    </w:r>
                  </w:p>
                </w:txbxContent>
              </v:textbox>
              <o:callout v:ext="edit" minusy="t"/>
            </v:shape>
            <v:shape id="_x0000_s1066" type="#_x0000_t44" style="position:absolute;left:7401;top:1498;width:570;height:480" adj="-50855,78660,-4547,8100,-18227,-675,-18227,-675">
              <v:textbox style="mso-next-textbox:#_x0000_s1066">
                <w:txbxContent>
                  <w:p w:rsidR="000768F7" w:rsidRPr="000768F7" w:rsidRDefault="005B3673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  <o:callout v:ext="edit" minusy="t"/>
            </v:shape>
            <v:shapetype id="_x0000_t45" coordsize="21600,21600" o:spt="45" adj="-10080,24300,-3600,4050,-1800,4050" path="m@0@1l@2@3@4@5nfem@4,l@4,21600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accentbar="t" textborder="f"/>
            </v:shapetype>
            <v:shape id="_x0000_s1067" type="#_x0000_t45" style="position:absolute;left:4139;top:6174;width:534;height:360" adj="29973,-68160,29366,10800,26454,10800,44049,-2820">
              <v:textbox style="mso-next-textbox:#_x0000_s1067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11</w:t>
                    </w:r>
                  </w:p>
                </w:txbxContent>
              </v:textbox>
              <o:callout v:ext="edit" minusx="t"/>
            </v:shape>
            <v:oval id="_x0000_s1068" style="position:absolute;left:4811;top:3834;width:340;height:340"/>
            <v:shape id="_x0000_s1069" type="#_x0000_t44" style="position:absolute;left:5681;top:1494;width:530;height:480" adj="-19358,47340,-4891,8100,-19603,-675,-19603,-675">
              <v:textbox style="mso-next-textbox:#_x0000_s1069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21</w:t>
                    </w:r>
                  </w:p>
                </w:txbxContent>
              </v:textbox>
              <o:callout v:ext="edit" minusy="t"/>
            </v:shape>
            <v:shape id="_x0000_s1070" type="#_x0000_t44" style="position:absolute;left:6458;top:1498;width:596;height:480" adj="-27870,49365,-4349,8100,-17432,-675,-17432,-675">
              <v:textbox style="mso-next-textbox:#_x0000_s1070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  <o:callout v:ext="edit" minusy="t"/>
            </v:shape>
            <v:shape id="_x0000_s1071" type="#_x0000_t44" style="position:absolute;left:4903;top:1494;width:530;height:480" adj="-30688,59175,-4891,8100,-19603,-675,-19603,-675">
              <v:textbox style="mso-next-textbox:#_x0000_s1071">
                <w:txbxContent>
                  <w:p w:rsidR="000768F7" w:rsidRPr="000768F7" w:rsidRDefault="000768F7" w:rsidP="000768F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8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</w:t>
                    </w:r>
                  </w:p>
                </w:txbxContent>
              </v:textbox>
              <o:callout v:ext="edit" minusy="t"/>
            </v:shape>
          </v:group>
        </w:pic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D2737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44" style="position:absolute;margin-left:-2.95pt;margin-top:16.15pt;width:25.05pt;height:28.5pt;z-index:251680768" o:regroupid="1" adj="77966,67455,27771,8100,9206,-675,9206,-675">
            <v:textbox style="mso-next-textbox:#_x0000_s1073">
              <w:txbxContent>
                <w:p w:rsidR="000768F7" w:rsidRPr="000768F7" w:rsidRDefault="000768F7" w:rsidP="000768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68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o:callout v:ext="edit" minusx="t" minusy="t"/>
          </v:shape>
        </w:pic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D2737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9.05pt;margin-top:5.95pt;width:0;height:154.05pt;z-index:251684864" o:connectortype="straight" o:regroupid="2"/>
        </w:pic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D2737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margin-left:42.95pt;margin-top:14.5pt;width:78.5pt;height:16.8pt;z-index:251679744" o:regroupid="1"/>
        </w:pic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D2737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22.1pt;margin-top:10.95pt;width:305pt;height:309.2pt;z-index:251686912" o:regroupid="3" strokecolor="white">
            <v:textbox style="mso-next-textbox:#_x0000_s103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42"/>
                    <w:gridCol w:w="589"/>
                    <w:gridCol w:w="1180"/>
                    <w:gridCol w:w="440"/>
                    <w:gridCol w:w="1980"/>
                    <w:gridCol w:w="1254"/>
                  </w:tblGrid>
                  <w:tr w:rsidR="000768F7" w:rsidRPr="000768F7" w:rsidTr="000C718D">
                    <w:tc>
                      <w:tcPr>
                        <w:tcW w:w="442" w:type="dxa"/>
                        <w:tcBorders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Тип</w:t>
                        </w:r>
                      </w:p>
                    </w:tc>
                    <w:tc>
                      <w:tcPr>
                        <w:tcW w:w="1180" w:type="dxa"/>
                        <w:tcBorders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(Плотность</w:t>
                        </w:r>
                      </w:p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потока)*10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  <w:t>9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 xml:space="preserve"> н/см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  <w:t>2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с</w:t>
                        </w:r>
                      </w:p>
                    </w:tc>
                    <w:tc>
                      <w:tcPr>
                        <w:tcW w:w="440" w:type="dxa"/>
                        <w:tcBorders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980" w:type="dxa"/>
                        <w:tcBorders>
                          <w:bottom w:val="single" w:sz="4" w:space="0" w:color="1F497D" w:themeColor="text2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Тип</w:t>
                        </w:r>
                      </w:p>
                    </w:tc>
                    <w:tc>
                      <w:tcPr>
                        <w:tcW w:w="1254" w:type="dxa"/>
                        <w:tcBorders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(Плотность</w:t>
                        </w:r>
                      </w:p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потока)*10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  <w:t>9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 xml:space="preserve"> н/см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  <w:t>2</w:t>
                        </w: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с</w:t>
                        </w:r>
                      </w:p>
                    </w:tc>
                  </w:tr>
                  <w:tr w:rsidR="000768F7" w:rsidRPr="000768F7" w:rsidTr="000C718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440" w:type="dxa"/>
                        <w:tcBorders>
                          <w:right w:val="single" w:sz="4" w:space="0" w:color="1F497D" w:themeColor="text2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ГЭК- горизонтальный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single" w:sz="4" w:space="0" w:color="1F497D" w:themeColor="text2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1,5</w:t>
                        </w:r>
                      </w:p>
                    </w:tc>
                  </w:tr>
                  <w:tr w:rsidR="000768F7" w:rsidRPr="000768F7" w:rsidTr="000C718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  <w:vertAlign w:val="superscript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1F497D" w:themeColor="text2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ВЭК- вертикальный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1000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730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1,0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2,2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420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ЦЭК- центральный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16000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1,5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254" w:type="dxa"/>
                        <w:tcBorders>
                          <w:bottom w:val="single" w:sz="4" w:space="0" w:color="000000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370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1000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980" w:type="dxa"/>
                        <w:tcBorders>
                          <w:right w:val="nil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АЗ- активная зона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nil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1,4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260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810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КЭК- касательный</w:t>
                        </w:r>
                      </w:p>
                    </w:tc>
                    <w:tc>
                      <w:tcPr>
                        <w:tcW w:w="1254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0,6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ГЭК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ТК- тепловая колонна</w:t>
                        </w:r>
                      </w:p>
                    </w:tc>
                    <w:tc>
                      <w:tcPr>
                        <w:tcW w:w="1254" w:type="dxa"/>
                        <w:tcBorders>
                          <w:bottom w:val="single" w:sz="4" w:space="0" w:color="000000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2,0</w:t>
                        </w:r>
                      </w:p>
                    </w:tc>
                  </w:tr>
                  <w:tr w:rsidR="000768F7" w:rsidRPr="000768F7" w:rsidTr="00DE103D">
                    <w:tc>
                      <w:tcPr>
                        <w:tcW w:w="442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ВЭК</w:t>
                        </w:r>
                      </w:p>
                    </w:tc>
                    <w:tc>
                      <w:tcPr>
                        <w:tcW w:w="118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2500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980" w:type="dxa"/>
                        <w:tcBorders>
                          <w:right w:val="nil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Биологическая</w:t>
                        </w:r>
                      </w:p>
                    </w:tc>
                    <w:tc>
                      <w:tcPr>
                        <w:tcW w:w="1254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0768F7" w:rsidRPr="003136D2" w:rsidRDefault="000768F7" w:rsidP="00DE10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</w:pPr>
                        <w:r w:rsidRPr="003136D2">
                          <w:rPr>
                            <w:rFonts w:ascii="Times New Roman" w:hAnsi="Times New Roman" w:cs="Times New Roman"/>
                            <w:b/>
                            <w:sz w:val="18"/>
                            <w:szCs w:val="24"/>
                          </w:rPr>
                          <w:t>защита</w:t>
                        </w:r>
                      </w:p>
                    </w:tc>
                  </w:tr>
                </w:tbl>
                <w:p w:rsidR="000768F7" w:rsidRPr="000768F7" w:rsidRDefault="000768F7" w:rsidP="000768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F7" w:rsidRDefault="000768F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295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295" w:rsidRDefault="000A5295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295" w:rsidRDefault="000A5295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2976" w:rsidRPr="005A512F" w:rsidRDefault="00762976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1E59" w:rsidRDefault="00481E5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На базе проекта ИРТ-2000 разработано несколько модификаций. Изменения в основном коснулись конфигурации активной зоны, материалов замедлителя нейтронов, отражателя, системы охлаждения и используемых ТВС.</w:t>
      </w:r>
    </w:p>
    <w:p w:rsidR="00504988" w:rsidRPr="00504988" w:rsidRDefault="0050498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Реактор ИРТ-МИФИ является базовой установкой АЦ МИФИ (Атомный центр МИФИ). Это единственный атомный реактор в РФ, работающий в составе многопрофильного учебного заведения. </w:t>
      </w:r>
    </w:p>
    <w:p w:rsidR="0056499D" w:rsidRDefault="0050498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После проведения ряда модернизаций в соответствии с рекомендациями Института атомной энергии им. И.В.Курчатова (ИАЭ), контроля радиационной обстановки в комплексе реактора и окружающей среды тепловая мощность реактора установлена 2,5 МВт. </w:t>
      </w:r>
    </w:p>
    <w:p w:rsidR="00504988" w:rsidRPr="00504988" w:rsidRDefault="0056499D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988" w:rsidRPr="00504988">
        <w:rPr>
          <w:rFonts w:ascii="Times New Roman" w:hAnsi="Times New Roman" w:cs="Times New Roman"/>
          <w:sz w:val="24"/>
          <w:szCs w:val="24"/>
        </w:rPr>
        <w:t>Реактор находится под контролем государственных органов надзора и МАГАТЭ.</w:t>
      </w:r>
    </w:p>
    <w:p w:rsidR="00504988" w:rsidRPr="00FF1AFF" w:rsidRDefault="0050498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За 40 лет в различных формах учебной работы на реакторе и в его исследовательских комплексах участвовали более 17 тысяч студентов МИФИ. Более 7 тысяч школьников, студентов, сотрудников других организаций и вузов в форме лекций-экскурсий ознакомились со спецификой эксплуатации и использования реактора. Результаты научных исследований на ИРТ отражены в 120 диссертациях, 15 из которых- докторские, опубликованы в более чем 2000 научных статей [7].</w:t>
      </w:r>
    </w:p>
    <w:p w:rsidR="00847758" w:rsidRDefault="0084775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7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Гетерогенный водо-водяной р</w:t>
      </w:r>
      <w:r w:rsidRPr="00847758">
        <w:rPr>
          <w:rFonts w:ascii="Times New Roman" w:hAnsi="Times New Roman" w:cs="Times New Roman"/>
          <w:sz w:val="24"/>
          <w:szCs w:val="24"/>
        </w:rPr>
        <w:t>еактор</w:t>
      </w:r>
      <w:r>
        <w:rPr>
          <w:rFonts w:ascii="Times New Roman" w:hAnsi="Times New Roman" w:cs="Times New Roman"/>
          <w:sz w:val="24"/>
          <w:szCs w:val="24"/>
        </w:rPr>
        <w:t xml:space="preserve"> на тепловых нейтронах</w:t>
      </w:r>
      <w:r w:rsidRPr="00847758">
        <w:rPr>
          <w:rFonts w:ascii="Times New Roman" w:hAnsi="Times New Roman" w:cs="Times New Roman"/>
          <w:sz w:val="24"/>
          <w:szCs w:val="24"/>
        </w:rPr>
        <w:t xml:space="preserve"> ИРТ-МИФИ сооружен </w:t>
      </w:r>
      <w:r>
        <w:rPr>
          <w:rFonts w:ascii="Times New Roman" w:hAnsi="Times New Roman" w:cs="Times New Roman"/>
          <w:sz w:val="24"/>
          <w:szCs w:val="24"/>
        </w:rPr>
        <w:t>в соответствии с типовым проектом ТП-3304М. Активную зону</w:t>
      </w:r>
      <w:r w:rsidR="00C616E7">
        <w:rPr>
          <w:rFonts w:ascii="Times New Roman" w:hAnsi="Times New Roman" w:cs="Times New Roman"/>
          <w:sz w:val="24"/>
          <w:szCs w:val="24"/>
        </w:rPr>
        <w:t xml:space="preserve"> составляют тепловыделяющие сборки ИРТ-2М и ИРТ-3М.</w:t>
      </w:r>
    </w:p>
    <w:p w:rsidR="00C616E7" w:rsidRDefault="00C616E7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Режим работы реактора определяется требованиями экспериментальных программ. Как </w:t>
      </w:r>
      <w:r w:rsidR="00ED71F4">
        <w:rPr>
          <w:rFonts w:ascii="Times New Roman" w:hAnsi="Times New Roman" w:cs="Times New Roman"/>
          <w:sz w:val="24"/>
          <w:szCs w:val="24"/>
        </w:rPr>
        <w:t>правило,</w:t>
      </w:r>
      <w:r>
        <w:rPr>
          <w:rFonts w:ascii="Times New Roman" w:hAnsi="Times New Roman" w:cs="Times New Roman"/>
          <w:sz w:val="24"/>
          <w:szCs w:val="24"/>
        </w:rPr>
        <w:t xml:space="preserve"> реактор эксплуатируется недельными циклами по 100 часов с годовым временем работы на мощности до 5000 часов.</w:t>
      </w:r>
    </w:p>
    <w:p w:rsidR="00F26BBB" w:rsidRDefault="00F26BBB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Запас реактивности и суммарная эффективность органов компенсации реактивности обеспечивают возможность эксплуатации реактора без перегрузки ТВС до энергровыработки 140 МВт-суток.</w:t>
      </w:r>
    </w:p>
    <w:p w:rsidR="00F26BBB" w:rsidRDefault="00F26BBB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Радиационная безопасность обеспечивается следующими барьерами:</w:t>
      </w:r>
    </w:p>
    <w:p w:rsidR="007E2409" w:rsidRDefault="00F26BBB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матрица твэлов </w:t>
      </w:r>
      <w:r w:rsidR="007E2409">
        <w:rPr>
          <w:rFonts w:ascii="Times New Roman" w:hAnsi="Times New Roman" w:cs="Times New Roman"/>
          <w:sz w:val="24"/>
          <w:szCs w:val="24"/>
        </w:rPr>
        <w:t>обладает слабой способностью растворения в воде,</w:t>
      </w:r>
    </w:p>
    <w:p w:rsidR="00F26BBB" w:rsidRDefault="007E240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защитная</w:t>
      </w:r>
      <w:r w:rsidR="00F26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оболочка твэла из алюминиевого сплава позволяет своевременно обнаружить дефектную ТВС и удалить ее из активной зоны реактора из-за значительного интервала времени поступления продуктов деления в теплоноситель.</w:t>
      </w:r>
    </w:p>
    <w:p w:rsidR="007E2409" w:rsidRDefault="007E240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 бассейна реактора.</w:t>
      </w:r>
    </w:p>
    <w:p w:rsidR="007E2409" w:rsidRDefault="007E2409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железобетонный бассейн реактора, облицованный </w:t>
      </w:r>
      <w:r w:rsidR="007A7226">
        <w:rPr>
          <w:rFonts w:ascii="Times New Roman" w:hAnsi="Times New Roman" w:cs="Times New Roman"/>
          <w:sz w:val="24"/>
          <w:szCs w:val="24"/>
        </w:rPr>
        <w:t>алюминием и закрытый защитной крышкой.</w:t>
      </w:r>
    </w:p>
    <w:p w:rsidR="007A7226" w:rsidRPr="00847758" w:rsidRDefault="007A7226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замкнутая конструкция физического зала.</w:t>
      </w:r>
    </w:p>
    <w:p w:rsidR="00504988" w:rsidRPr="00504988" w:rsidRDefault="0050498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988">
        <w:rPr>
          <w:rFonts w:ascii="Times New Roman" w:hAnsi="Times New Roman" w:cs="Times New Roman"/>
          <w:sz w:val="24"/>
          <w:szCs w:val="24"/>
        </w:rPr>
        <w:t xml:space="preserve">     На рис.2.1 представлен вид на активную зону ИРТ-МИФИ с экспериментальными каналами и распределение нейтронных потоков  по вертикальным (ВЭК), горизонтальным (ГЭК) и касательному (КЭК) каналам.</w:t>
      </w:r>
    </w:p>
    <w:p w:rsidR="00504988" w:rsidRPr="00EC18A5" w:rsidRDefault="00504988" w:rsidP="00504988">
      <w:pPr>
        <w:pStyle w:val="a6"/>
      </w:pPr>
    </w:p>
    <w:p w:rsidR="00504988" w:rsidRPr="00504988" w:rsidRDefault="00504988" w:rsidP="00504988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E59" w:rsidRPr="00481E59" w:rsidRDefault="00481E59" w:rsidP="00481E5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E59" w:rsidRPr="00481E59" w:rsidRDefault="00481E59" w:rsidP="00D47D65">
      <w:pPr>
        <w:spacing w:after="0" w:line="360" w:lineRule="auto"/>
        <w:ind w:firstLine="2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1E59" w:rsidRPr="00481E59" w:rsidSect="003F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6079"/>
    <w:multiLevelType w:val="hybridMultilevel"/>
    <w:tmpl w:val="11B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3E2F"/>
    <w:multiLevelType w:val="hybridMultilevel"/>
    <w:tmpl w:val="3476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2475E"/>
    <w:multiLevelType w:val="hybridMultilevel"/>
    <w:tmpl w:val="6DA8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D7FAF"/>
    <w:multiLevelType w:val="hybridMultilevel"/>
    <w:tmpl w:val="14544ED0"/>
    <w:lvl w:ilvl="0" w:tplc="3B1AC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130F7"/>
    <w:multiLevelType w:val="hybridMultilevel"/>
    <w:tmpl w:val="06A0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5C63"/>
    <w:multiLevelType w:val="hybridMultilevel"/>
    <w:tmpl w:val="30F4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43"/>
    <w:rsid w:val="0004102A"/>
    <w:rsid w:val="000768F7"/>
    <w:rsid w:val="000A5295"/>
    <w:rsid w:val="000C718D"/>
    <w:rsid w:val="001D7F9D"/>
    <w:rsid w:val="0024666C"/>
    <w:rsid w:val="003136D2"/>
    <w:rsid w:val="00341FF8"/>
    <w:rsid w:val="003F4E47"/>
    <w:rsid w:val="0042713F"/>
    <w:rsid w:val="004442E7"/>
    <w:rsid w:val="00481E59"/>
    <w:rsid w:val="004D746C"/>
    <w:rsid w:val="00504988"/>
    <w:rsid w:val="00535B3A"/>
    <w:rsid w:val="005532BE"/>
    <w:rsid w:val="0056499D"/>
    <w:rsid w:val="005A512F"/>
    <w:rsid w:val="005B3673"/>
    <w:rsid w:val="0062443A"/>
    <w:rsid w:val="00665210"/>
    <w:rsid w:val="00762976"/>
    <w:rsid w:val="007A7226"/>
    <w:rsid w:val="007B58E7"/>
    <w:rsid w:val="007C6376"/>
    <w:rsid w:val="007E2409"/>
    <w:rsid w:val="00834108"/>
    <w:rsid w:val="00847758"/>
    <w:rsid w:val="008645AB"/>
    <w:rsid w:val="0091477A"/>
    <w:rsid w:val="009F0238"/>
    <w:rsid w:val="00A5029B"/>
    <w:rsid w:val="00AC70EC"/>
    <w:rsid w:val="00AF012B"/>
    <w:rsid w:val="00B512F9"/>
    <w:rsid w:val="00BC1843"/>
    <w:rsid w:val="00C2583F"/>
    <w:rsid w:val="00C616E7"/>
    <w:rsid w:val="00CC11A5"/>
    <w:rsid w:val="00CE5D3B"/>
    <w:rsid w:val="00D2737D"/>
    <w:rsid w:val="00D47D65"/>
    <w:rsid w:val="00E34192"/>
    <w:rsid w:val="00E56055"/>
    <w:rsid w:val="00EC00DC"/>
    <w:rsid w:val="00ED71F4"/>
    <w:rsid w:val="00F234F3"/>
    <w:rsid w:val="00F26BBB"/>
    <w:rsid w:val="00F84D57"/>
    <w:rsid w:val="00FA1CDD"/>
    <w:rsid w:val="00F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52"/>
        <o:r id="V:Rule2" type="callout" idref="#_x0000_s1053"/>
        <o:r id="V:Rule3" type="callout" idref="#_x0000_s1054"/>
        <o:r id="V:Rule4" type="callout" idref="#_x0000_s1055"/>
        <o:r id="V:Rule5" type="callout" idref="#_x0000_s1056"/>
        <o:r id="V:Rule6" type="callout" idref="#_x0000_s1057"/>
        <o:r id="V:Rule7" type="callout" idref="#_x0000_s1058"/>
        <o:r id="V:Rule8" type="callout" idref="#_x0000_s1059"/>
        <o:r id="V:Rule9" type="callout" idref="#_x0000_s1060"/>
        <o:r id="V:Rule10" type="callout" idref="#_x0000_s1061"/>
        <o:r id="V:Rule11" type="callout" idref="#_x0000_s1062"/>
        <o:r id="V:Rule12" type="callout" idref="#_x0000_s1063"/>
        <o:r id="V:Rule13" type="callout" idref="#_x0000_s1064"/>
        <o:r id="V:Rule14" type="callout" idref="#_x0000_s1065"/>
        <o:r id="V:Rule15" type="callout" idref="#_x0000_s1066"/>
        <o:r id="V:Rule16" type="callout" idref="#_x0000_s1067"/>
        <o:r id="V:Rule17" type="callout" idref="#_x0000_s1069"/>
        <o:r id="V:Rule18" type="callout" idref="#_x0000_s1070"/>
        <o:r id="V:Rule19" type="callout" idref="#_x0000_s1071"/>
        <o:r id="V:Rule20" type="callout" idref="#_x0000_s1073"/>
        <o:r id="V:Rule22" type="connector" idref="#_x0000_s1028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3"/>
    <w:pPr>
      <w:spacing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184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C184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C1843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C1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3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8554-5D0E-444F-85B7-0ECD7B83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2008-01-09T05:02:00Z</dcterms:created>
  <dcterms:modified xsi:type="dcterms:W3CDTF">2008-02-20T02:49:00Z</dcterms:modified>
</cp:coreProperties>
</file>